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4C" w:rsidRPr="0026167E" w:rsidRDefault="00B3774C" w:rsidP="00345F43">
      <w:pPr>
        <w:tabs>
          <w:tab w:val="center" w:pos="4536"/>
          <w:tab w:val="left" w:pos="8376"/>
        </w:tabs>
        <w:spacing w:line="276" w:lineRule="auto"/>
        <w:contextualSpacing/>
        <w:jc w:val="center"/>
        <w:rPr>
          <w:rFonts w:ascii="Century Gothic" w:hAnsi="Century Gothic"/>
          <w:b/>
          <w:sz w:val="24"/>
          <w:szCs w:val="24"/>
        </w:rPr>
      </w:pPr>
      <w:r w:rsidRPr="0026167E">
        <w:rPr>
          <w:rFonts w:ascii="Century Gothic" w:hAnsi="Century Gothic"/>
          <w:b/>
          <w:sz w:val="24"/>
          <w:szCs w:val="24"/>
        </w:rPr>
        <w:t>GEMEINDE RIEDERICH</w:t>
      </w:r>
    </w:p>
    <w:p w:rsidR="00B3774C" w:rsidRPr="0026167E" w:rsidRDefault="00B3774C" w:rsidP="00345F43">
      <w:pPr>
        <w:spacing w:line="276" w:lineRule="auto"/>
        <w:contextualSpacing/>
        <w:jc w:val="center"/>
        <w:rPr>
          <w:rFonts w:ascii="Century Gothic" w:hAnsi="Century Gothic"/>
          <w:b/>
          <w:sz w:val="24"/>
          <w:szCs w:val="24"/>
        </w:rPr>
      </w:pPr>
      <w:r w:rsidRPr="0026167E">
        <w:rPr>
          <w:rFonts w:ascii="Century Gothic" w:hAnsi="Century Gothic"/>
          <w:b/>
          <w:sz w:val="24"/>
          <w:szCs w:val="24"/>
        </w:rPr>
        <w:t>Landkreis Reutlingen</w:t>
      </w:r>
    </w:p>
    <w:p w:rsidR="00B3774C" w:rsidRPr="0026167E" w:rsidRDefault="00B3774C" w:rsidP="00345F43">
      <w:pPr>
        <w:spacing w:line="276" w:lineRule="auto"/>
        <w:contextualSpacing/>
        <w:rPr>
          <w:rFonts w:ascii="Century Gothic" w:hAnsi="Century Gothic" w:cs="Arial"/>
          <w:bCs/>
          <w:sz w:val="24"/>
          <w:szCs w:val="24"/>
        </w:rPr>
      </w:pPr>
    </w:p>
    <w:p w:rsidR="00B3774C" w:rsidRPr="004C1F17" w:rsidRDefault="00B3774C" w:rsidP="00361860">
      <w:pPr>
        <w:spacing w:line="276" w:lineRule="auto"/>
        <w:contextualSpacing/>
        <w:jc w:val="center"/>
        <w:rPr>
          <w:rFonts w:ascii="Century Gothic" w:hAnsi="Century Gothic" w:cs="Arial"/>
          <w:b/>
          <w:bCs/>
          <w:sz w:val="28"/>
          <w:szCs w:val="24"/>
        </w:rPr>
      </w:pPr>
      <w:r>
        <w:rPr>
          <w:rFonts w:ascii="Century Gothic" w:hAnsi="Century Gothic" w:cs="Arial"/>
          <w:b/>
          <w:bCs/>
          <w:sz w:val="28"/>
          <w:szCs w:val="24"/>
        </w:rPr>
        <w:t>Entgeltordnung für die Benutzung</w:t>
      </w:r>
      <w:r w:rsidR="00361860">
        <w:rPr>
          <w:rFonts w:ascii="Century Gothic" w:hAnsi="Century Gothic" w:cs="Arial"/>
          <w:b/>
          <w:bCs/>
          <w:sz w:val="28"/>
          <w:szCs w:val="24"/>
        </w:rPr>
        <w:t xml:space="preserve"> </w:t>
      </w:r>
      <w:r w:rsidR="00883B62">
        <w:rPr>
          <w:rFonts w:ascii="Century Gothic" w:hAnsi="Century Gothic" w:cs="Arial"/>
          <w:b/>
          <w:bCs/>
          <w:sz w:val="28"/>
          <w:szCs w:val="24"/>
        </w:rPr>
        <w:t>des Lehrschwimmbad</w:t>
      </w:r>
      <w:r>
        <w:rPr>
          <w:rFonts w:ascii="Century Gothic" w:hAnsi="Century Gothic" w:cs="Arial"/>
          <w:b/>
          <w:bCs/>
          <w:sz w:val="28"/>
          <w:szCs w:val="24"/>
        </w:rPr>
        <w:t>s</w:t>
      </w:r>
      <w:r w:rsidRPr="004C1F17">
        <w:rPr>
          <w:rFonts w:ascii="Century Gothic" w:hAnsi="Century Gothic" w:cs="Arial"/>
          <w:b/>
          <w:bCs/>
          <w:sz w:val="28"/>
          <w:szCs w:val="24"/>
        </w:rPr>
        <w:t xml:space="preserve"> </w:t>
      </w:r>
    </w:p>
    <w:p w:rsidR="00B3774C" w:rsidRPr="00696580" w:rsidRDefault="00B3774C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B3774C" w:rsidRPr="00696580" w:rsidRDefault="00B3774C" w:rsidP="00345F43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Aufg</w:t>
      </w:r>
      <w:r w:rsidRPr="00696580">
        <w:rPr>
          <w:rFonts w:ascii="Century Gothic" w:hAnsi="Century Gothic" w:cs="Arial"/>
          <w:sz w:val="24"/>
          <w:szCs w:val="24"/>
        </w:rPr>
        <w:t xml:space="preserve">rund von § 4 der Gemeindeordnung für Baden-Württemberg (GemO) sowie §§ 2 und 13 des Kommunalabgabengesetzes für Baden-Württemberg (KAG) hat der Gemeinderat der Gemeinde Riederich am </w:t>
      </w:r>
      <w:r>
        <w:rPr>
          <w:rFonts w:ascii="Century Gothic" w:hAnsi="Century Gothic" w:cs="Arial"/>
          <w:sz w:val="24"/>
          <w:szCs w:val="24"/>
        </w:rPr>
        <w:t>11.12.2019</w:t>
      </w:r>
      <w:r w:rsidRPr="00696580">
        <w:rPr>
          <w:rFonts w:ascii="Century Gothic" w:hAnsi="Century Gothic" w:cs="Arial"/>
          <w:sz w:val="24"/>
          <w:szCs w:val="24"/>
        </w:rPr>
        <w:t xml:space="preserve"> folgende Satzung beschlossen:</w:t>
      </w:r>
    </w:p>
    <w:p w:rsidR="00A009AF" w:rsidRDefault="00A009AF" w:rsidP="00345F43">
      <w:pPr>
        <w:widowControl/>
        <w:adjustRightInd w:val="0"/>
        <w:spacing w:before="100" w:beforeAutospacing="1" w:after="100" w:afterAutospacing="1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A009AF" w:rsidRPr="00A009AF" w:rsidRDefault="00A009AF" w:rsidP="00345F43">
      <w:pPr>
        <w:widowControl/>
        <w:adjustRightInd w:val="0"/>
        <w:spacing w:before="100" w:beforeAutospacing="1" w:after="100" w:afterAutospacing="1"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A009AF">
        <w:rPr>
          <w:rFonts w:ascii="Century Gothic" w:hAnsi="Century Gothic" w:cs="Arial"/>
          <w:b/>
          <w:sz w:val="24"/>
          <w:szCs w:val="24"/>
        </w:rPr>
        <w:t>§ 1</w:t>
      </w:r>
    </w:p>
    <w:p w:rsidR="00345F43" w:rsidRDefault="00A75AA1" w:rsidP="00345F43">
      <w:pPr>
        <w:widowControl/>
        <w:adjustRightInd w:val="0"/>
        <w:spacing w:before="100" w:beforeAutospacing="1" w:after="100" w:afterAutospacing="1"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E</w:t>
      </w:r>
      <w:r w:rsidR="00A009AF" w:rsidRPr="00A009AF">
        <w:rPr>
          <w:rFonts w:ascii="Century Gothic" w:hAnsi="Century Gothic" w:cs="Arial"/>
          <w:b/>
          <w:sz w:val="24"/>
          <w:szCs w:val="24"/>
        </w:rPr>
        <w:t>rhebung</w:t>
      </w:r>
      <w:r>
        <w:rPr>
          <w:rFonts w:ascii="Century Gothic" w:hAnsi="Century Gothic" w:cs="Arial"/>
          <w:b/>
          <w:sz w:val="24"/>
          <w:szCs w:val="24"/>
        </w:rPr>
        <w:t xml:space="preserve"> von Nutzungsentgelten</w:t>
      </w:r>
    </w:p>
    <w:p w:rsidR="00A009AF" w:rsidRPr="00345F43" w:rsidRDefault="00E60C0B" w:rsidP="00345F43">
      <w:pPr>
        <w:pStyle w:val="Listenabsatz"/>
        <w:widowControl/>
        <w:numPr>
          <w:ilvl w:val="0"/>
          <w:numId w:val="2"/>
        </w:numPr>
        <w:adjustRightInd w:val="0"/>
        <w:spacing w:before="100" w:beforeAutospacing="1" w:after="100" w:afterAutospacing="1" w:line="276" w:lineRule="auto"/>
        <w:rPr>
          <w:rFonts w:ascii="Century Gothic" w:hAnsi="Century Gothic" w:cs="Arial"/>
          <w:sz w:val="24"/>
          <w:szCs w:val="24"/>
        </w:rPr>
      </w:pPr>
      <w:r w:rsidRPr="00345F43">
        <w:rPr>
          <w:rFonts w:ascii="Century Gothic" w:hAnsi="Century Gothic" w:cs="Arial"/>
          <w:sz w:val="24"/>
          <w:szCs w:val="24"/>
        </w:rPr>
        <w:t xml:space="preserve">Für die </w:t>
      </w:r>
      <w:r w:rsidR="007857D4" w:rsidRPr="00345F43">
        <w:rPr>
          <w:rFonts w:ascii="Century Gothic" w:hAnsi="Century Gothic" w:cs="Arial"/>
          <w:sz w:val="24"/>
          <w:szCs w:val="24"/>
        </w:rPr>
        <w:t xml:space="preserve">Benutzung des Lehrschwimmbades </w:t>
      </w:r>
      <w:r w:rsidRPr="00345F43">
        <w:rPr>
          <w:rFonts w:ascii="Century Gothic" w:hAnsi="Century Gothic" w:cs="Arial"/>
          <w:sz w:val="24"/>
          <w:szCs w:val="24"/>
        </w:rPr>
        <w:t>erhebt die Gemeinde</w:t>
      </w:r>
      <w:r w:rsidR="00361860">
        <w:rPr>
          <w:rFonts w:ascii="Century Gothic" w:hAnsi="Century Gothic" w:cs="Arial"/>
          <w:sz w:val="24"/>
          <w:szCs w:val="24"/>
        </w:rPr>
        <w:t xml:space="preserve"> Entgelte für die Benutzung auf </w:t>
      </w:r>
      <w:r w:rsidR="00146D7D" w:rsidRPr="00345F43">
        <w:rPr>
          <w:rFonts w:ascii="Century Gothic" w:hAnsi="Century Gothic" w:cs="Arial"/>
          <w:sz w:val="24"/>
          <w:szCs w:val="24"/>
        </w:rPr>
        <w:t>privatrechtliche</w:t>
      </w:r>
      <w:r w:rsidR="00361860">
        <w:rPr>
          <w:rFonts w:ascii="Century Gothic" w:hAnsi="Century Gothic" w:cs="Arial"/>
          <w:sz w:val="24"/>
          <w:szCs w:val="24"/>
        </w:rPr>
        <w:t>r Grundlage</w:t>
      </w:r>
      <w:r w:rsidR="00A009AF" w:rsidRPr="00345F43">
        <w:rPr>
          <w:rFonts w:ascii="Century Gothic" w:hAnsi="Century Gothic" w:cs="Arial"/>
          <w:sz w:val="24"/>
          <w:szCs w:val="24"/>
        </w:rPr>
        <w:t>.</w:t>
      </w:r>
    </w:p>
    <w:p w:rsidR="007857D4" w:rsidRPr="00345F43" w:rsidRDefault="007857D4" w:rsidP="00345F43">
      <w:pPr>
        <w:pStyle w:val="Listenabsatz"/>
        <w:widowControl/>
        <w:numPr>
          <w:ilvl w:val="0"/>
          <w:numId w:val="2"/>
        </w:numPr>
        <w:adjustRightInd w:val="0"/>
        <w:spacing w:before="100" w:beforeAutospacing="1" w:after="100" w:afterAutospacing="1" w:line="276" w:lineRule="auto"/>
        <w:ind w:left="357" w:hanging="357"/>
        <w:jc w:val="both"/>
        <w:rPr>
          <w:rFonts w:ascii="Century Gothic" w:hAnsi="Century Gothic" w:cs="Arial"/>
          <w:sz w:val="24"/>
          <w:szCs w:val="24"/>
        </w:rPr>
      </w:pPr>
      <w:r w:rsidRPr="007B20BD">
        <w:rPr>
          <w:rFonts w:ascii="Century Gothic" w:hAnsi="Century Gothic" w:cs="Arial"/>
          <w:sz w:val="24"/>
          <w:szCs w:val="24"/>
        </w:rPr>
        <w:t xml:space="preserve">Die </w:t>
      </w:r>
      <w:r w:rsidR="00345F43">
        <w:rPr>
          <w:rFonts w:ascii="Century Gothic" w:hAnsi="Century Gothic" w:cs="Arial"/>
          <w:sz w:val="24"/>
          <w:szCs w:val="24"/>
        </w:rPr>
        <w:t>Höhe des Benutzungsentgelts</w:t>
      </w:r>
      <w:r>
        <w:rPr>
          <w:rFonts w:ascii="Century Gothic" w:hAnsi="Century Gothic" w:cs="Arial"/>
          <w:sz w:val="24"/>
          <w:szCs w:val="24"/>
        </w:rPr>
        <w:t xml:space="preserve"> richtet sich bei einzelnen Personen nach dem Lebensalter und der Art der Eintrittskarte (Einzel- oder Zehnerkarte</w:t>
      </w:r>
      <w:r w:rsidR="00361860">
        <w:rPr>
          <w:rFonts w:ascii="Century Gothic" w:hAnsi="Century Gothic" w:cs="Arial"/>
          <w:sz w:val="24"/>
          <w:szCs w:val="24"/>
        </w:rPr>
        <w:t>)</w:t>
      </w:r>
      <w:r>
        <w:rPr>
          <w:rFonts w:ascii="Century Gothic" w:hAnsi="Century Gothic" w:cs="Arial"/>
          <w:sz w:val="24"/>
          <w:szCs w:val="24"/>
        </w:rPr>
        <w:t>.</w:t>
      </w:r>
      <w:r w:rsidR="00345F43" w:rsidRPr="00345F43">
        <w:rPr>
          <w:rFonts w:ascii="Century Gothic" w:hAnsi="Century Gothic" w:cs="Arial"/>
          <w:sz w:val="24"/>
          <w:szCs w:val="24"/>
        </w:rPr>
        <w:t xml:space="preserve"> </w:t>
      </w:r>
      <w:r w:rsidRPr="00345F43">
        <w:rPr>
          <w:rFonts w:ascii="Century Gothic" w:hAnsi="Century Gothic" w:cs="Arial"/>
          <w:sz w:val="24"/>
          <w:szCs w:val="24"/>
        </w:rPr>
        <w:t>Bei Personengruppen (Vereine, Schulen, etc.) richtet sich die Benutzungsgebühr nach der Art der Nutzergruppe.</w:t>
      </w:r>
      <w:r w:rsidR="00345F43" w:rsidRPr="00345F43">
        <w:rPr>
          <w:rFonts w:ascii="Century Gothic" w:hAnsi="Century Gothic" w:cs="Arial"/>
          <w:sz w:val="24"/>
          <w:szCs w:val="24"/>
        </w:rPr>
        <w:t xml:space="preserve"> Das jeweilige Benutzungsentgelt sowie die dazugehörige Nutzungsdauer ergibt sich aus </w:t>
      </w:r>
      <w:r w:rsidR="00D96E71">
        <w:rPr>
          <w:rFonts w:ascii="Century Gothic" w:hAnsi="Century Gothic" w:cs="Arial"/>
          <w:sz w:val="24"/>
          <w:szCs w:val="24"/>
        </w:rPr>
        <w:t xml:space="preserve"> </w:t>
      </w:r>
      <w:r w:rsidR="00345F43" w:rsidRPr="00345F43">
        <w:rPr>
          <w:rFonts w:ascii="Century Gothic" w:hAnsi="Century Gothic" w:cs="Arial"/>
          <w:sz w:val="24"/>
          <w:szCs w:val="24"/>
        </w:rPr>
        <w:t xml:space="preserve">§ 2 dieser Entgeltordnung </w:t>
      </w:r>
      <w:r w:rsidR="00345F43" w:rsidRPr="00300A28">
        <w:rPr>
          <w:rFonts w:ascii="Century Gothic" w:hAnsi="Century Gothic" w:cs="Arial"/>
          <w:sz w:val="24"/>
          <w:szCs w:val="24"/>
        </w:rPr>
        <w:t>zuzüglich d</w:t>
      </w:r>
      <w:r w:rsidR="00345F43" w:rsidRPr="00345F43">
        <w:rPr>
          <w:rFonts w:ascii="Century Gothic" w:hAnsi="Century Gothic" w:cs="Arial"/>
          <w:sz w:val="24"/>
          <w:szCs w:val="24"/>
        </w:rPr>
        <w:t>er zum Zeitpunkt der Benutzung gültigen Mehrwertsteuer</w:t>
      </w:r>
      <w:r w:rsidR="00300A28">
        <w:rPr>
          <w:rFonts w:ascii="Century Gothic" w:hAnsi="Century Gothic" w:cs="Arial"/>
          <w:sz w:val="24"/>
          <w:szCs w:val="24"/>
        </w:rPr>
        <w:t xml:space="preserve"> (aktuell: 7%)</w:t>
      </w:r>
      <w:r w:rsidR="00345F43" w:rsidRPr="00345F43">
        <w:rPr>
          <w:rFonts w:ascii="Century Gothic" w:hAnsi="Century Gothic" w:cs="Arial"/>
          <w:sz w:val="24"/>
          <w:szCs w:val="24"/>
        </w:rPr>
        <w:t>.</w:t>
      </w:r>
    </w:p>
    <w:p w:rsidR="007857D4" w:rsidRDefault="007857D4" w:rsidP="00345F43">
      <w:pPr>
        <w:pStyle w:val="Listenabsatz"/>
        <w:widowControl/>
        <w:numPr>
          <w:ilvl w:val="0"/>
          <w:numId w:val="2"/>
        </w:numPr>
        <w:autoSpaceDE/>
        <w:autoSpaceDN/>
        <w:adjustRightInd w:val="0"/>
        <w:spacing w:after="160"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Kinder unter sechs Jahren haben in Begleitung eines zahlenden Erwachsenen freien Eintritt.</w:t>
      </w:r>
    </w:p>
    <w:p w:rsidR="00361860" w:rsidRDefault="00361860" w:rsidP="00345F43">
      <w:pPr>
        <w:widowControl/>
        <w:autoSpaceDE/>
        <w:autoSpaceDN/>
        <w:adjustRightInd w:val="0"/>
        <w:spacing w:after="160" w:line="276" w:lineRule="auto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:rsidR="00655CE3" w:rsidRPr="00345F43" w:rsidRDefault="00655CE3" w:rsidP="00345F43">
      <w:pPr>
        <w:widowControl/>
        <w:autoSpaceDE/>
        <w:autoSpaceDN/>
        <w:adjustRightInd w:val="0"/>
        <w:spacing w:after="160" w:line="276" w:lineRule="auto"/>
        <w:contextualSpacing/>
        <w:jc w:val="center"/>
        <w:rPr>
          <w:rFonts w:ascii="Century Gothic" w:hAnsi="Century Gothic" w:cs="Arial"/>
          <w:sz w:val="24"/>
          <w:szCs w:val="24"/>
        </w:rPr>
      </w:pPr>
      <w:r w:rsidRPr="00345F43">
        <w:rPr>
          <w:rFonts w:ascii="Century Gothic" w:hAnsi="Century Gothic" w:cs="Arial"/>
          <w:b/>
          <w:sz w:val="24"/>
          <w:szCs w:val="24"/>
        </w:rPr>
        <w:t>§ 2</w:t>
      </w:r>
    </w:p>
    <w:p w:rsidR="00655CE3" w:rsidRDefault="00B27134" w:rsidP="00345F43">
      <w:pPr>
        <w:widowControl/>
        <w:adjustRightInd w:val="0"/>
        <w:spacing w:before="100" w:beforeAutospacing="1" w:after="100" w:afterAutospacing="1"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En</w:t>
      </w:r>
      <w:r w:rsidR="007B3503">
        <w:rPr>
          <w:rFonts w:ascii="Century Gothic" w:hAnsi="Century Gothic" w:cs="Arial"/>
          <w:b/>
          <w:sz w:val="24"/>
          <w:szCs w:val="24"/>
        </w:rPr>
        <w:t>t</w:t>
      </w:r>
      <w:r>
        <w:rPr>
          <w:rFonts w:ascii="Century Gothic" w:hAnsi="Century Gothic" w:cs="Arial"/>
          <w:b/>
          <w:sz w:val="24"/>
          <w:szCs w:val="24"/>
        </w:rPr>
        <w:t>gelt</w:t>
      </w:r>
      <w:r w:rsidR="00655CE3">
        <w:rPr>
          <w:rFonts w:ascii="Century Gothic" w:hAnsi="Century Gothic" w:cs="Arial"/>
          <w:b/>
          <w:sz w:val="24"/>
          <w:szCs w:val="24"/>
        </w:rPr>
        <w:t>höhe</w:t>
      </w:r>
    </w:p>
    <w:p w:rsidR="00655CE3" w:rsidRPr="00655CE3" w:rsidRDefault="00655CE3" w:rsidP="00345F43">
      <w:pPr>
        <w:widowControl/>
        <w:adjustRightInd w:val="0"/>
        <w:spacing w:before="100" w:beforeAutospacing="1" w:after="100" w:afterAutospacing="1"/>
        <w:contextualSpacing/>
        <w:rPr>
          <w:rFonts w:ascii="Century Gothic" w:hAnsi="Century Gothic" w:cs="Arial"/>
          <w:sz w:val="24"/>
          <w:szCs w:val="24"/>
        </w:rPr>
      </w:pPr>
    </w:p>
    <w:tbl>
      <w:tblPr>
        <w:tblStyle w:val="Tabellenraster"/>
        <w:tblW w:w="9357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985"/>
        <w:gridCol w:w="1985"/>
      </w:tblGrid>
      <w:tr w:rsidR="00146D7D" w:rsidTr="007857D4"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146D7D" w:rsidRPr="003F3D32" w:rsidRDefault="00146D7D" w:rsidP="00345F4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3F3D32">
              <w:rPr>
                <w:rFonts w:ascii="Century Gothic" w:hAnsi="Century Gothic" w:cs="Arial"/>
                <w:b/>
              </w:rPr>
              <w:t>Art der Nutzung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146D7D" w:rsidRPr="003F3D32" w:rsidRDefault="00146D7D" w:rsidP="00345F4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3F3D32">
              <w:rPr>
                <w:rFonts w:ascii="Century Gothic" w:hAnsi="Century Gothic" w:cs="Arial"/>
                <w:b/>
              </w:rPr>
              <w:t>Personenkreis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146D7D" w:rsidRPr="003F3D32" w:rsidRDefault="007857D4" w:rsidP="00345F4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Nutzungsdauer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146D7D" w:rsidRPr="003F3D32" w:rsidRDefault="00FE5C77" w:rsidP="00345F4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Entgelt</w:t>
            </w:r>
            <w:r w:rsidR="00146D7D" w:rsidRPr="003F3D32">
              <w:rPr>
                <w:rFonts w:ascii="Century Gothic" w:hAnsi="Century Gothic" w:cs="Arial"/>
                <w:b/>
              </w:rPr>
              <w:t>höhe</w:t>
            </w:r>
          </w:p>
        </w:tc>
      </w:tr>
      <w:tr w:rsidR="007857D4" w:rsidTr="007857D4">
        <w:tc>
          <w:tcPr>
            <w:tcW w:w="2552" w:type="dxa"/>
            <w:vMerge w:val="restart"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Einzelkarte</w:t>
            </w:r>
          </w:p>
        </w:tc>
        <w:tc>
          <w:tcPr>
            <w:tcW w:w="2835" w:type="dxa"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Kinder und Jugendliche bis 16 Jahre</w:t>
            </w:r>
          </w:p>
        </w:tc>
        <w:tc>
          <w:tcPr>
            <w:tcW w:w="1985" w:type="dxa"/>
            <w:vMerge w:val="restart"/>
            <w:vAlign w:val="center"/>
          </w:tcPr>
          <w:p w:rsidR="007857D4" w:rsidRPr="003F3D32" w:rsidRDefault="00FE5C77" w:rsidP="00FE5C77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Je Besuch</w:t>
            </w:r>
          </w:p>
        </w:tc>
        <w:tc>
          <w:tcPr>
            <w:tcW w:w="1985" w:type="dxa"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1,50 €</w:t>
            </w:r>
          </w:p>
        </w:tc>
      </w:tr>
      <w:tr w:rsidR="007857D4" w:rsidTr="007857D4">
        <w:tc>
          <w:tcPr>
            <w:tcW w:w="2552" w:type="dxa"/>
            <w:vMerge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</w:p>
        </w:tc>
        <w:tc>
          <w:tcPr>
            <w:tcW w:w="2835" w:type="dxa"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Erwachsene und Jugendliche über 16 Jahre</w:t>
            </w:r>
          </w:p>
        </w:tc>
        <w:tc>
          <w:tcPr>
            <w:tcW w:w="1985" w:type="dxa"/>
            <w:vMerge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vAlign w:val="center"/>
          </w:tcPr>
          <w:p w:rsidR="007857D4" w:rsidRPr="003F3D32" w:rsidRDefault="007857D4" w:rsidP="00910E17">
            <w:pPr>
              <w:adjustRightInd w:val="0"/>
              <w:spacing w:line="276" w:lineRule="auto"/>
              <w:contextualSpacing/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2,5</w:t>
            </w:r>
            <w:r w:rsidR="00910E17">
              <w:rPr>
                <w:rFonts w:ascii="Century Gothic" w:hAnsi="Century Gothic" w:cs="Arial"/>
              </w:rPr>
              <w:t>2</w:t>
            </w:r>
            <w:r>
              <w:rPr>
                <w:rFonts w:ascii="Century Gothic" w:hAnsi="Century Gothic" w:cs="Arial"/>
              </w:rPr>
              <w:t xml:space="preserve"> €</w:t>
            </w:r>
          </w:p>
        </w:tc>
      </w:tr>
      <w:tr w:rsidR="007857D4" w:rsidTr="007857D4">
        <w:tc>
          <w:tcPr>
            <w:tcW w:w="2552" w:type="dxa"/>
            <w:vMerge w:val="restart"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Zehnerkarte</w:t>
            </w:r>
          </w:p>
        </w:tc>
        <w:tc>
          <w:tcPr>
            <w:tcW w:w="2835" w:type="dxa"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Kinder und Jugendliche bis 16 Jahre</w:t>
            </w:r>
          </w:p>
        </w:tc>
        <w:tc>
          <w:tcPr>
            <w:tcW w:w="1985" w:type="dxa"/>
            <w:vMerge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vAlign w:val="center"/>
          </w:tcPr>
          <w:p w:rsidR="007857D4" w:rsidRPr="003F3D32" w:rsidRDefault="00910E17" w:rsidP="00345F43">
            <w:pPr>
              <w:adjustRightInd w:val="0"/>
              <w:spacing w:line="276" w:lineRule="auto"/>
              <w:contextualSpacing/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12,15</w:t>
            </w:r>
            <w:r w:rsidR="007857D4">
              <w:rPr>
                <w:rFonts w:ascii="Century Gothic" w:hAnsi="Century Gothic" w:cs="Arial"/>
              </w:rPr>
              <w:t xml:space="preserve"> €</w:t>
            </w:r>
          </w:p>
        </w:tc>
      </w:tr>
      <w:tr w:rsidR="007857D4" w:rsidTr="007857D4">
        <w:tc>
          <w:tcPr>
            <w:tcW w:w="2552" w:type="dxa"/>
            <w:vMerge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</w:p>
        </w:tc>
        <w:tc>
          <w:tcPr>
            <w:tcW w:w="2835" w:type="dxa"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Erwachsene und Jugendliche über 16 Jahre</w:t>
            </w:r>
          </w:p>
        </w:tc>
        <w:tc>
          <w:tcPr>
            <w:tcW w:w="1985" w:type="dxa"/>
            <w:vMerge/>
            <w:vAlign w:val="center"/>
          </w:tcPr>
          <w:p w:rsidR="007857D4" w:rsidRPr="003F3D32" w:rsidRDefault="007857D4" w:rsidP="00345F4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vAlign w:val="center"/>
          </w:tcPr>
          <w:p w:rsidR="007857D4" w:rsidRPr="003F3D32" w:rsidRDefault="00910E17" w:rsidP="00345F43">
            <w:pPr>
              <w:adjustRightInd w:val="0"/>
              <w:spacing w:line="276" w:lineRule="auto"/>
              <w:contextualSpacing/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20,56</w:t>
            </w:r>
            <w:r w:rsidR="007857D4">
              <w:rPr>
                <w:rFonts w:ascii="Century Gothic" w:hAnsi="Century Gothic" w:cs="Arial"/>
              </w:rPr>
              <w:t xml:space="preserve"> €</w:t>
            </w:r>
          </w:p>
        </w:tc>
      </w:tr>
      <w:tr w:rsidR="007B3503" w:rsidTr="007B3503"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3F3D32">
              <w:rPr>
                <w:rFonts w:ascii="Century Gothic" w:hAnsi="Century Gothic" w:cs="Arial"/>
                <w:b/>
              </w:rPr>
              <w:t>Art der Nutzung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3F3D32">
              <w:rPr>
                <w:rFonts w:ascii="Century Gothic" w:hAnsi="Century Gothic" w:cs="Arial"/>
                <w:b/>
              </w:rPr>
              <w:t>Personenkreis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Nutzungsdauer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7B3503" w:rsidRPr="003F3D32" w:rsidRDefault="00FE5C77" w:rsidP="007B350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Entgelt</w:t>
            </w:r>
            <w:r w:rsidR="007B3503" w:rsidRPr="003F3D32">
              <w:rPr>
                <w:rFonts w:ascii="Century Gothic" w:hAnsi="Century Gothic" w:cs="Arial"/>
                <w:b/>
              </w:rPr>
              <w:t>höhe</w:t>
            </w:r>
          </w:p>
        </w:tc>
      </w:tr>
      <w:tr w:rsidR="007B3503" w:rsidTr="007857D4">
        <w:tc>
          <w:tcPr>
            <w:tcW w:w="2552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Schwimmunterricht der Gutenbergschule</w:t>
            </w:r>
          </w:p>
        </w:tc>
        <w:tc>
          <w:tcPr>
            <w:tcW w:w="2835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Schülerinnen und Schüler sowie Lehrkräfte der Gutenbergschule</w:t>
            </w:r>
          </w:p>
        </w:tc>
        <w:tc>
          <w:tcPr>
            <w:tcW w:w="1985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0,00 €</w:t>
            </w:r>
          </w:p>
        </w:tc>
      </w:tr>
      <w:tr w:rsidR="007B3503" w:rsidTr="007857D4">
        <w:tc>
          <w:tcPr>
            <w:tcW w:w="2552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Schwimmunterricht auswärtiger Schulen</w:t>
            </w:r>
          </w:p>
        </w:tc>
        <w:tc>
          <w:tcPr>
            <w:tcW w:w="2835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Schülerinnen und Schüler sowie Lehrkräfte der auswärtigen Schulen</w:t>
            </w:r>
          </w:p>
        </w:tc>
        <w:tc>
          <w:tcPr>
            <w:tcW w:w="1985" w:type="dxa"/>
            <w:vMerge w:val="restart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Je angefangener Zeitstunde</w:t>
            </w:r>
          </w:p>
        </w:tc>
        <w:tc>
          <w:tcPr>
            <w:tcW w:w="1985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50,00 €</w:t>
            </w:r>
          </w:p>
        </w:tc>
      </w:tr>
      <w:tr w:rsidR="007B3503" w:rsidTr="007857D4">
        <w:trPr>
          <w:trHeight w:val="194"/>
        </w:trPr>
        <w:tc>
          <w:tcPr>
            <w:tcW w:w="2552" w:type="dxa"/>
            <w:vAlign w:val="center"/>
          </w:tcPr>
          <w:p w:rsidR="007B3503" w:rsidRDefault="007B3503" w:rsidP="007B350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>TSV Riederich</w:t>
            </w:r>
            <w:r w:rsidR="00361860">
              <w:rPr>
                <w:rFonts w:ascii="Century Gothic" w:hAnsi="Century Gothic" w:cs="Arial"/>
              </w:rPr>
              <w:t xml:space="preserve"> e.V.</w:t>
            </w:r>
          </w:p>
        </w:tc>
        <w:tc>
          <w:tcPr>
            <w:tcW w:w="2835" w:type="dxa"/>
            <w:vAlign w:val="center"/>
          </w:tcPr>
          <w:p w:rsidR="007B3503" w:rsidRDefault="007B3503" w:rsidP="007B350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Kursteilnehmer d</w:t>
            </w:r>
            <w:bookmarkStart w:id="0" w:name="_GoBack"/>
            <w:bookmarkEnd w:id="0"/>
            <w:r>
              <w:rPr>
                <w:rFonts w:ascii="Century Gothic" w:hAnsi="Century Gothic" w:cs="Arial"/>
              </w:rPr>
              <w:t>es TSV</w:t>
            </w:r>
          </w:p>
        </w:tc>
        <w:tc>
          <w:tcPr>
            <w:tcW w:w="1985" w:type="dxa"/>
            <w:vMerge/>
            <w:vAlign w:val="center"/>
          </w:tcPr>
          <w:p w:rsidR="007B3503" w:rsidRDefault="007B3503" w:rsidP="007B350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vAlign w:val="center"/>
          </w:tcPr>
          <w:p w:rsidR="007B3503" w:rsidRDefault="007B3503" w:rsidP="007B3503">
            <w:pPr>
              <w:adjustRightInd w:val="0"/>
              <w:spacing w:line="276" w:lineRule="auto"/>
              <w:contextualSpacing/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25,00 €</w:t>
            </w:r>
          </w:p>
        </w:tc>
      </w:tr>
      <w:tr w:rsidR="007B3503" w:rsidTr="007857D4">
        <w:trPr>
          <w:trHeight w:val="194"/>
        </w:trPr>
        <w:tc>
          <w:tcPr>
            <w:tcW w:w="2552" w:type="dxa"/>
            <w:vAlign w:val="center"/>
          </w:tcPr>
          <w:p w:rsidR="007B3503" w:rsidRDefault="00361860" w:rsidP="00361860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VHS Metzingen e. V. </w:t>
            </w:r>
          </w:p>
        </w:tc>
        <w:tc>
          <w:tcPr>
            <w:tcW w:w="2835" w:type="dxa"/>
            <w:vAlign w:val="center"/>
          </w:tcPr>
          <w:p w:rsidR="007B3503" w:rsidRDefault="007B3503" w:rsidP="007B350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Kursteilnehmer der VHS</w:t>
            </w:r>
          </w:p>
        </w:tc>
        <w:tc>
          <w:tcPr>
            <w:tcW w:w="1985" w:type="dxa"/>
            <w:vMerge/>
            <w:vAlign w:val="center"/>
          </w:tcPr>
          <w:p w:rsidR="007B3503" w:rsidRDefault="007B3503" w:rsidP="007B350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985" w:type="dxa"/>
            <w:vAlign w:val="center"/>
          </w:tcPr>
          <w:p w:rsidR="007B3503" w:rsidRDefault="007B3503" w:rsidP="007B3503">
            <w:pPr>
              <w:adjustRightInd w:val="0"/>
              <w:spacing w:line="276" w:lineRule="auto"/>
              <w:contextualSpacing/>
              <w:jc w:val="righ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25,00 €</w:t>
            </w:r>
          </w:p>
        </w:tc>
      </w:tr>
      <w:tr w:rsidR="007B3503" w:rsidTr="007857D4">
        <w:trPr>
          <w:trHeight w:val="194"/>
        </w:trPr>
        <w:tc>
          <w:tcPr>
            <w:tcW w:w="2552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Gewerbliche Schwimmschulen</w:t>
            </w:r>
          </w:p>
        </w:tc>
        <w:tc>
          <w:tcPr>
            <w:tcW w:w="2835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Schülerinnen und Schüler sowie Lehrkräfte der gewerblichen Schwimmschulen</w:t>
            </w:r>
          </w:p>
        </w:tc>
        <w:tc>
          <w:tcPr>
            <w:tcW w:w="1985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7B3503" w:rsidRPr="003F3D32" w:rsidRDefault="007B3503" w:rsidP="007B3503">
            <w:pPr>
              <w:adjustRightInd w:val="0"/>
              <w:spacing w:line="276" w:lineRule="auto"/>
              <w:contextualSpacing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25 % der vereinnahmten Kursgebühren</w:t>
            </w:r>
          </w:p>
        </w:tc>
      </w:tr>
    </w:tbl>
    <w:p w:rsidR="00116070" w:rsidRDefault="00116070" w:rsidP="00345F43">
      <w:pPr>
        <w:widowControl/>
        <w:adjustRightInd w:val="0"/>
        <w:spacing w:before="100" w:beforeAutospacing="1" w:after="100" w:afterAutospacing="1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116070" w:rsidRPr="00A009AF" w:rsidRDefault="00116070" w:rsidP="00345F43">
      <w:pPr>
        <w:widowControl/>
        <w:adjustRightInd w:val="0"/>
        <w:spacing w:before="100" w:beforeAutospacing="1" w:after="100" w:afterAutospacing="1"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§ </w:t>
      </w:r>
      <w:r w:rsidR="007B3503">
        <w:rPr>
          <w:rFonts w:ascii="Century Gothic" w:hAnsi="Century Gothic" w:cs="Arial"/>
          <w:b/>
          <w:sz w:val="24"/>
          <w:szCs w:val="24"/>
        </w:rPr>
        <w:t>3</w:t>
      </w:r>
    </w:p>
    <w:p w:rsidR="00116070" w:rsidRPr="00A009AF" w:rsidRDefault="00116070" w:rsidP="00345F43">
      <w:pPr>
        <w:widowControl/>
        <w:adjustRightInd w:val="0"/>
        <w:spacing w:before="100" w:beforeAutospacing="1" w:after="100" w:afterAutospacing="1"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Umkleideräume und Duschen</w:t>
      </w:r>
    </w:p>
    <w:p w:rsidR="00116070" w:rsidRDefault="00116070" w:rsidP="00345F43">
      <w:pPr>
        <w:widowControl/>
        <w:adjustRightInd w:val="0"/>
        <w:spacing w:before="100" w:beforeAutospacing="1" w:after="100" w:afterAutospacing="1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116070" w:rsidRDefault="00116070" w:rsidP="00345F43">
      <w:pPr>
        <w:widowControl/>
        <w:adjustRightInd w:val="0"/>
        <w:spacing w:before="100" w:beforeAutospacing="1" w:after="100" w:afterAutospacing="1"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Die Benutzung d</w:t>
      </w:r>
      <w:r w:rsidR="00300A28">
        <w:rPr>
          <w:rFonts w:ascii="Century Gothic" w:hAnsi="Century Gothic" w:cs="Arial"/>
          <w:sz w:val="24"/>
          <w:szCs w:val="24"/>
        </w:rPr>
        <w:t>er Umkleideräume und Duschen sind</w:t>
      </w:r>
      <w:r>
        <w:rPr>
          <w:rFonts w:ascii="Century Gothic" w:hAnsi="Century Gothic" w:cs="Arial"/>
          <w:sz w:val="24"/>
          <w:szCs w:val="24"/>
        </w:rPr>
        <w:t xml:space="preserve"> in den </w:t>
      </w:r>
      <w:r w:rsidR="00345F43">
        <w:rPr>
          <w:rFonts w:ascii="Century Gothic" w:hAnsi="Century Gothic" w:cs="Arial"/>
          <w:sz w:val="24"/>
          <w:szCs w:val="24"/>
        </w:rPr>
        <w:t>Entgeltsätzen</w:t>
      </w:r>
      <w:r>
        <w:rPr>
          <w:rFonts w:ascii="Century Gothic" w:hAnsi="Century Gothic" w:cs="Arial"/>
          <w:sz w:val="24"/>
          <w:szCs w:val="24"/>
        </w:rPr>
        <w:t xml:space="preserve"> berücksichtigt.</w:t>
      </w:r>
    </w:p>
    <w:p w:rsidR="007857D4" w:rsidRPr="00A473F3" w:rsidRDefault="007857D4" w:rsidP="00345F43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7857D4" w:rsidRDefault="007857D4" w:rsidP="00345F43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§ </w:t>
      </w:r>
      <w:r w:rsidR="007B3503">
        <w:rPr>
          <w:rFonts w:ascii="Century Gothic" w:hAnsi="Century Gothic" w:cs="Arial"/>
          <w:b/>
          <w:sz w:val="24"/>
          <w:szCs w:val="24"/>
        </w:rPr>
        <w:t>4</w:t>
      </w:r>
    </w:p>
    <w:p w:rsidR="007857D4" w:rsidRDefault="00345F43" w:rsidP="00345F43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Entrichtung und Schuldner</w:t>
      </w:r>
    </w:p>
    <w:p w:rsidR="007857D4" w:rsidRPr="007C03CC" w:rsidRDefault="007857D4" w:rsidP="00345F43">
      <w:pPr>
        <w:spacing w:line="276" w:lineRule="auto"/>
        <w:contextualSpacing/>
        <w:rPr>
          <w:rFonts w:ascii="Century Gothic" w:hAnsi="Century Gothic" w:cs="Arial"/>
          <w:sz w:val="24"/>
          <w:szCs w:val="24"/>
        </w:rPr>
      </w:pPr>
    </w:p>
    <w:p w:rsidR="007857D4" w:rsidRPr="00A473F3" w:rsidRDefault="00345F43" w:rsidP="00345F43">
      <w:pPr>
        <w:pStyle w:val="Listenabsatz"/>
        <w:widowControl/>
        <w:numPr>
          <w:ilvl w:val="0"/>
          <w:numId w:val="4"/>
        </w:numPr>
        <w:autoSpaceDE/>
        <w:autoSpaceDN/>
        <w:adjustRightInd w:val="0"/>
        <w:spacing w:after="160"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Entgeltschuldner</w:t>
      </w:r>
      <w:r w:rsidR="007857D4">
        <w:rPr>
          <w:rFonts w:ascii="Century Gothic" w:hAnsi="Century Gothic" w:cs="Arial"/>
          <w:sz w:val="24"/>
          <w:szCs w:val="24"/>
        </w:rPr>
        <w:t xml:space="preserve"> ist </w:t>
      </w:r>
      <w:r w:rsidR="00361860">
        <w:rPr>
          <w:rFonts w:ascii="Century Gothic" w:hAnsi="Century Gothic" w:cs="Arial"/>
          <w:sz w:val="24"/>
          <w:szCs w:val="24"/>
        </w:rPr>
        <w:t>der</w:t>
      </w:r>
      <w:r w:rsidR="007857D4">
        <w:rPr>
          <w:rFonts w:ascii="Century Gothic" w:hAnsi="Century Gothic" w:cs="Arial"/>
          <w:sz w:val="24"/>
          <w:szCs w:val="24"/>
        </w:rPr>
        <w:t xml:space="preserve"> Benutzer des Bades.</w:t>
      </w:r>
    </w:p>
    <w:p w:rsidR="007857D4" w:rsidRDefault="00345F43" w:rsidP="00345F43">
      <w:pPr>
        <w:pStyle w:val="Listenabsatz"/>
        <w:widowControl/>
        <w:numPr>
          <w:ilvl w:val="0"/>
          <w:numId w:val="4"/>
        </w:numPr>
        <w:autoSpaceDE/>
        <w:autoSpaceDN/>
        <w:adjustRightInd w:val="0"/>
        <w:spacing w:after="160"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Das Benutzungsentgelt </w:t>
      </w:r>
      <w:r w:rsidR="007857D4">
        <w:rPr>
          <w:rFonts w:ascii="Century Gothic" w:hAnsi="Century Gothic" w:cs="Arial"/>
          <w:sz w:val="24"/>
          <w:szCs w:val="24"/>
        </w:rPr>
        <w:t>ist gemäß § 2 Abs. 8 und 9 der „</w:t>
      </w:r>
      <w:r w:rsidR="007857D4" w:rsidRPr="00C74340">
        <w:rPr>
          <w:rFonts w:ascii="Century Gothic" w:hAnsi="Century Gothic" w:cs="Arial"/>
          <w:sz w:val="24"/>
          <w:szCs w:val="24"/>
        </w:rPr>
        <w:t xml:space="preserve">Benutzungsordnung </w:t>
      </w:r>
      <w:r w:rsidR="007857D4">
        <w:rPr>
          <w:rFonts w:ascii="Century Gothic" w:hAnsi="Century Gothic" w:cs="Arial"/>
          <w:sz w:val="24"/>
          <w:szCs w:val="24"/>
        </w:rPr>
        <w:t>für das Lehrschwimmbad“ vor Betreten des Bades zu entrichten.</w:t>
      </w:r>
    </w:p>
    <w:p w:rsidR="007857D4" w:rsidRPr="007A14DA" w:rsidRDefault="007857D4" w:rsidP="00345F43">
      <w:pPr>
        <w:pStyle w:val="Listenabsatz"/>
        <w:widowControl/>
        <w:numPr>
          <w:ilvl w:val="0"/>
          <w:numId w:val="4"/>
        </w:numPr>
        <w:autoSpaceDE/>
        <w:autoSpaceDN/>
        <w:adjustRightInd w:val="0"/>
        <w:spacing w:after="160"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7A14DA">
        <w:rPr>
          <w:rFonts w:ascii="Century Gothic" w:hAnsi="Century Gothic" w:cs="Arial"/>
          <w:sz w:val="24"/>
          <w:szCs w:val="24"/>
        </w:rPr>
        <w:t>Schulen, Vereine und sonstige Institutionen, die das Bad gemäß dem jeweils gültigen J</w:t>
      </w:r>
      <w:r w:rsidR="00361860">
        <w:rPr>
          <w:rFonts w:ascii="Century Gothic" w:hAnsi="Century Gothic" w:cs="Arial"/>
          <w:sz w:val="24"/>
          <w:szCs w:val="24"/>
        </w:rPr>
        <w:t>ahresbelegungsplan außerhalb des öffentlichen Badebetriebs</w:t>
      </w:r>
      <w:r w:rsidRPr="007A14DA">
        <w:rPr>
          <w:rFonts w:ascii="Century Gothic" w:hAnsi="Century Gothic" w:cs="Arial"/>
          <w:sz w:val="24"/>
          <w:szCs w:val="24"/>
        </w:rPr>
        <w:t>nutzen, werden die angemeldeten, aber nicht in Anspruch genommenen Belegungsstunden voll berechnet, wenn diese</w:t>
      </w:r>
      <w:r w:rsidR="00361860">
        <w:rPr>
          <w:rFonts w:ascii="Century Gothic" w:hAnsi="Century Gothic" w:cs="Arial"/>
          <w:sz w:val="24"/>
          <w:szCs w:val="24"/>
        </w:rPr>
        <w:t xml:space="preserve"> nicht mindestens 24 Stunden vor</w:t>
      </w:r>
      <w:r w:rsidRPr="007A14DA">
        <w:rPr>
          <w:rFonts w:ascii="Century Gothic" w:hAnsi="Century Gothic" w:cs="Arial"/>
          <w:sz w:val="24"/>
          <w:szCs w:val="24"/>
        </w:rPr>
        <w:t xml:space="preserve"> Beginn bei der Gemeindeverwaltung abgesagt werden.</w:t>
      </w:r>
    </w:p>
    <w:p w:rsidR="007857D4" w:rsidRDefault="007857D4" w:rsidP="00345F43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7857D4" w:rsidRDefault="007857D4" w:rsidP="00345F43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§ </w:t>
      </w:r>
      <w:r w:rsidR="007B3503">
        <w:rPr>
          <w:rFonts w:ascii="Century Gothic" w:hAnsi="Century Gothic" w:cs="Arial"/>
          <w:b/>
          <w:sz w:val="24"/>
          <w:szCs w:val="24"/>
        </w:rPr>
        <w:t>5</w:t>
      </w:r>
    </w:p>
    <w:p w:rsidR="007857D4" w:rsidRDefault="007857D4" w:rsidP="00345F43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Entstehung und Fälligkeit</w:t>
      </w:r>
    </w:p>
    <w:p w:rsidR="007857D4" w:rsidRPr="007C03CC" w:rsidRDefault="007857D4" w:rsidP="00345F43">
      <w:pPr>
        <w:spacing w:line="276" w:lineRule="auto"/>
        <w:contextualSpacing/>
        <w:rPr>
          <w:rFonts w:ascii="Century Gothic" w:hAnsi="Century Gothic" w:cs="Arial"/>
          <w:sz w:val="24"/>
          <w:szCs w:val="24"/>
        </w:rPr>
      </w:pPr>
    </w:p>
    <w:p w:rsidR="007857D4" w:rsidRDefault="00361860" w:rsidP="00345F43">
      <w:pPr>
        <w:pStyle w:val="Listenabsatz"/>
        <w:widowControl/>
        <w:numPr>
          <w:ilvl w:val="0"/>
          <w:numId w:val="5"/>
        </w:numPr>
        <w:autoSpaceDE/>
        <w:autoSpaceDN/>
        <w:adjustRightInd w:val="0"/>
        <w:spacing w:after="160"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Das</w:t>
      </w:r>
      <w:r w:rsidR="007857D4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Entgelt</w:t>
      </w:r>
      <w:r w:rsidR="007857D4">
        <w:rPr>
          <w:rFonts w:ascii="Century Gothic" w:hAnsi="Century Gothic" w:cs="Arial"/>
          <w:sz w:val="24"/>
          <w:szCs w:val="24"/>
        </w:rPr>
        <w:t xml:space="preserve"> entsteht und wird gleichzeitig in dem Moment fällig, in dem der Badegast um die Benutzung des Bades nachsucht.</w:t>
      </w:r>
    </w:p>
    <w:p w:rsidR="007857D4" w:rsidRDefault="007857D4" w:rsidP="00345F43">
      <w:pPr>
        <w:pStyle w:val="Listenabsatz"/>
        <w:widowControl/>
        <w:numPr>
          <w:ilvl w:val="0"/>
          <w:numId w:val="5"/>
        </w:numPr>
        <w:autoSpaceDE/>
        <w:autoSpaceDN/>
        <w:adjustRightInd w:val="0"/>
        <w:spacing w:after="160" w:line="276" w:lineRule="auto"/>
        <w:ind w:left="454" w:hanging="454"/>
        <w:jc w:val="both"/>
        <w:rPr>
          <w:rFonts w:ascii="Century Gothic" w:hAnsi="Century Gothic" w:cs="Arial"/>
          <w:sz w:val="24"/>
          <w:szCs w:val="24"/>
        </w:rPr>
      </w:pPr>
      <w:r w:rsidRPr="004515A2">
        <w:rPr>
          <w:rFonts w:ascii="Century Gothic" w:hAnsi="Century Gothic" w:cs="Arial"/>
          <w:sz w:val="24"/>
          <w:szCs w:val="24"/>
        </w:rPr>
        <w:t xml:space="preserve">Die </w:t>
      </w:r>
      <w:r w:rsidR="00345F43">
        <w:rPr>
          <w:rFonts w:ascii="Century Gothic" w:hAnsi="Century Gothic" w:cs="Arial"/>
          <w:sz w:val="24"/>
          <w:szCs w:val="24"/>
        </w:rPr>
        <w:t>Entgelte</w:t>
      </w:r>
      <w:r w:rsidRPr="004515A2">
        <w:rPr>
          <w:rFonts w:ascii="Century Gothic" w:hAnsi="Century Gothic" w:cs="Arial"/>
          <w:sz w:val="24"/>
          <w:szCs w:val="24"/>
        </w:rPr>
        <w:t xml:space="preserve"> für Schulen, Vereine und sonstige Institutionen entstehen mit der Benutzung des Bades und werden quartalsweise durch die Gemeindeverwaltung in Rechnung gestellt.</w:t>
      </w:r>
    </w:p>
    <w:p w:rsidR="00300A28" w:rsidRPr="004515A2" w:rsidRDefault="00300A28" w:rsidP="00300A28">
      <w:pPr>
        <w:pStyle w:val="Listenabsatz"/>
        <w:widowControl/>
        <w:autoSpaceDE/>
        <w:autoSpaceDN/>
        <w:adjustRightInd w:val="0"/>
        <w:spacing w:after="160" w:line="276" w:lineRule="auto"/>
        <w:ind w:left="454"/>
        <w:jc w:val="both"/>
        <w:rPr>
          <w:rFonts w:ascii="Century Gothic" w:hAnsi="Century Gothic" w:cs="Arial"/>
          <w:sz w:val="24"/>
          <w:szCs w:val="24"/>
        </w:rPr>
      </w:pPr>
    </w:p>
    <w:p w:rsidR="00146D7D" w:rsidRPr="00B533E9" w:rsidRDefault="00146D7D" w:rsidP="00345F43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B533E9">
        <w:rPr>
          <w:rFonts w:ascii="Century Gothic" w:hAnsi="Century Gothic" w:cs="Arial"/>
          <w:b/>
          <w:sz w:val="24"/>
          <w:szCs w:val="24"/>
        </w:rPr>
        <w:t xml:space="preserve">§ </w:t>
      </w:r>
      <w:r w:rsidR="007B3503">
        <w:rPr>
          <w:rFonts w:ascii="Century Gothic" w:hAnsi="Century Gothic" w:cs="Arial"/>
          <w:b/>
          <w:sz w:val="24"/>
          <w:szCs w:val="24"/>
        </w:rPr>
        <w:t>6</w:t>
      </w:r>
    </w:p>
    <w:p w:rsidR="00146D7D" w:rsidRPr="00B533E9" w:rsidRDefault="00146D7D" w:rsidP="00345F43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B533E9">
        <w:rPr>
          <w:rFonts w:ascii="Century Gothic" w:hAnsi="Century Gothic" w:cs="Arial"/>
          <w:b/>
          <w:sz w:val="24"/>
          <w:szCs w:val="24"/>
        </w:rPr>
        <w:t>Inkrafttreten</w:t>
      </w:r>
    </w:p>
    <w:p w:rsidR="00146D7D" w:rsidRPr="00B533E9" w:rsidRDefault="00146D7D" w:rsidP="00345F43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146D7D" w:rsidRPr="00B533E9" w:rsidRDefault="00146D7D" w:rsidP="00345F43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4515A2">
        <w:rPr>
          <w:rFonts w:ascii="Century Gothic" w:hAnsi="Century Gothic" w:cs="Arial"/>
          <w:sz w:val="24"/>
          <w:szCs w:val="24"/>
        </w:rPr>
        <w:t xml:space="preserve">Die </w:t>
      </w:r>
      <w:r>
        <w:rPr>
          <w:rFonts w:ascii="Century Gothic" w:hAnsi="Century Gothic" w:cs="Arial"/>
          <w:sz w:val="24"/>
          <w:szCs w:val="24"/>
        </w:rPr>
        <w:t xml:space="preserve">Entgeltordnung für die Benutzung des </w:t>
      </w:r>
      <w:r w:rsidRPr="004515A2">
        <w:rPr>
          <w:rFonts w:ascii="Century Gothic" w:hAnsi="Century Gothic" w:cs="Arial"/>
          <w:sz w:val="24"/>
          <w:szCs w:val="24"/>
        </w:rPr>
        <w:t>Lehrschwimmbad</w:t>
      </w:r>
      <w:r>
        <w:rPr>
          <w:rFonts w:ascii="Century Gothic" w:hAnsi="Century Gothic" w:cs="Arial"/>
          <w:sz w:val="24"/>
          <w:szCs w:val="24"/>
        </w:rPr>
        <w:t>es</w:t>
      </w:r>
      <w:r w:rsidRPr="004515A2">
        <w:rPr>
          <w:rFonts w:ascii="Century Gothic" w:hAnsi="Century Gothic" w:cs="Arial"/>
          <w:sz w:val="24"/>
          <w:szCs w:val="24"/>
        </w:rPr>
        <w:t xml:space="preserve"> der Gutenbergschule</w:t>
      </w:r>
      <w:r>
        <w:rPr>
          <w:rFonts w:ascii="Century Gothic" w:hAnsi="Century Gothic" w:cs="Arial"/>
          <w:sz w:val="24"/>
          <w:szCs w:val="24"/>
        </w:rPr>
        <w:t xml:space="preserve"> t</w:t>
      </w:r>
      <w:r w:rsidRPr="00B533E9">
        <w:rPr>
          <w:rFonts w:ascii="Century Gothic" w:hAnsi="Century Gothic" w:cs="Arial"/>
          <w:sz w:val="24"/>
          <w:szCs w:val="24"/>
        </w:rPr>
        <w:t>ritt zum 01.0</w:t>
      </w:r>
      <w:r>
        <w:rPr>
          <w:rFonts w:ascii="Century Gothic" w:hAnsi="Century Gothic" w:cs="Arial"/>
          <w:sz w:val="24"/>
          <w:szCs w:val="24"/>
        </w:rPr>
        <w:t>1.2020</w:t>
      </w:r>
      <w:r w:rsidRPr="00B533E9">
        <w:rPr>
          <w:rFonts w:ascii="Century Gothic" w:hAnsi="Century Gothic" w:cs="Arial"/>
          <w:sz w:val="24"/>
          <w:szCs w:val="24"/>
        </w:rPr>
        <w:t xml:space="preserve"> in Kraft, gleichzeitig tritt </w:t>
      </w:r>
      <w:r>
        <w:rPr>
          <w:rFonts w:ascii="Century Gothic" w:hAnsi="Century Gothic" w:cs="Arial"/>
          <w:sz w:val="24"/>
          <w:szCs w:val="24"/>
        </w:rPr>
        <w:t xml:space="preserve">die Satzung über die Erhebung von Gebühren für die Benutzung des Lehrschwimmbades vom 08.11.2007 </w:t>
      </w:r>
      <w:r w:rsidRPr="00B533E9">
        <w:rPr>
          <w:rFonts w:ascii="Century Gothic" w:hAnsi="Century Gothic" w:cs="Arial"/>
          <w:sz w:val="24"/>
          <w:szCs w:val="24"/>
        </w:rPr>
        <w:t>außer Kraft.</w:t>
      </w:r>
    </w:p>
    <w:p w:rsidR="00146D7D" w:rsidRPr="00B533E9" w:rsidRDefault="00146D7D" w:rsidP="00345F43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B533E9">
        <w:rPr>
          <w:rFonts w:ascii="Century Gothic" w:hAnsi="Century Gothic" w:cs="Arial"/>
          <w:b/>
          <w:sz w:val="24"/>
          <w:szCs w:val="24"/>
        </w:rPr>
        <w:lastRenderedPageBreak/>
        <w:t xml:space="preserve">§ </w:t>
      </w:r>
      <w:r w:rsidR="007B3503">
        <w:rPr>
          <w:rFonts w:ascii="Century Gothic" w:hAnsi="Century Gothic" w:cs="Arial"/>
          <w:b/>
          <w:sz w:val="24"/>
          <w:szCs w:val="24"/>
        </w:rPr>
        <w:t>7</w:t>
      </w:r>
    </w:p>
    <w:p w:rsidR="00146D7D" w:rsidRPr="00B533E9" w:rsidRDefault="00146D7D" w:rsidP="00345F43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B533E9">
        <w:rPr>
          <w:rFonts w:ascii="Century Gothic" w:hAnsi="Century Gothic" w:cs="Arial"/>
          <w:b/>
          <w:sz w:val="24"/>
          <w:szCs w:val="24"/>
        </w:rPr>
        <w:t xml:space="preserve">Bekanntmachung </w:t>
      </w: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4515A2">
        <w:rPr>
          <w:rFonts w:ascii="Century Gothic" w:hAnsi="Century Gothic" w:cs="Arial"/>
          <w:sz w:val="24"/>
          <w:szCs w:val="24"/>
        </w:rPr>
        <w:t xml:space="preserve">Die </w:t>
      </w:r>
      <w:r>
        <w:rPr>
          <w:rFonts w:ascii="Century Gothic" w:hAnsi="Century Gothic" w:cs="Arial"/>
          <w:sz w:val="24"/>
          <w:szCs w:val="24"/>
        </w:rPr>
        <w:t xml:space="preserve">Entgeltordnung für die Benutzung des </w:t>
      </w:r>
      <w:r w:rsidRPr="004515A2">
        <w:rPr>
          <w:rFonts w:ascii="Century Gothic" w:hAnsi="Century Gothic" w:cs="Arial"/>
          <w:sz w:val="24"/>
          <w:szCs w:val="24"/>
        </w:rPr>
        <w:t>Lehrschwimmbad</w:t>
      </w:r>
      <w:r>
        <w:rPr>
          <w:rFonts w:ascii="Century Gothic" w:hAnsi="Century Gothic" w:cs="Arial"/>
          <w:sz w:val="24"/>
          <w:szCs w:val="24"/>
        </w:rPr>
        <w:t>es</w:t>
      </w:r>
      <w:r w:rsidRPr="004515A2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wird öffentlich sowie am Eingang des Bades </w:t>
      </w:r>
      <w:r w:rsidRPr="00C74340">
        <w:rPr>
          <w:rFonts w:ascii="Century Gothic" w:hAnsi="Century Gothic" w:cs="Arial"/>
          <w:sz w:val="24"/>
          <w:szCs w:val="24"/>
        </w:rPr>
        <w:t>bekannt gegeben.</w:t>
      </w:r>
    </w:p>
    <w:p w:rsidR="00146D7D" w:rsidRDefault="00146D7D" w:rsidP="00345F43">
      <w:pPr>
        <w:spacing w:line="276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300A28" w:rsidRPr="00B533E9" w:rsidRDefault="00300A28" w:rsidP="00345F43">
      <w:pPr>
        <w:spacing w:line="276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146D7D" w:rsidRPr="00B533E9" w:rsidRDefault="00146D7D" w:rsidP="00345F43">
      <w:pPr>
        <w:spacing w:line="276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B533E9">
        <w:rPr>
          <w:rFonts w:ascii="Century Gothic" w:hAnsi="Century Gothic" w:cs="Arial"/>
          <w:b/>
          <w:sz w:val="24"/>
          <w:szCs w:val="24"/>
        </w:rPr>
        <w:t>Hinweis über die Verletzung von Verfahrens- und/oder Formvorschriften nach § 4 Abs. 4 Gemeindeordnung</w:t>
      </w: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146D7D" w:rsidRPr="004515A2" w:rsidRDefault="00146D7D" w:rsidP="00345F43">
      <w:pPr>
        <w:adjustRightInd w:val="0"/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4515A2">
        <w:rPr>
          <w:rFonts w:ascii="Century Gothic" w:hAnsi="Century Gothic" w:cs="Arial"/>
          <w:sz w:val="24"/>
          <w:szCs w:val="24"/>
        </w:rPr>
        <w:t>Satzungen, die unter Verletzung von Verfahrens- oder Formvorschriften der Gemeindeordnung für Baden-Württemberg (GemO) oder aufgrund der Gemeindeordnung für Baden-Württemberg zustande gekommen sind, gelten ein Jahr nach der Bekanntmachung als von Anfang an gültig zustande gekommen. Dies gilt nicht, wenn</w:t>
      </w:r>
    </w:p>
    <w:p w:rsidR="00146D7D" w:rsidRPr="00B533E9" w:rsidRDefault="00146D7D" w:rsidP="00345F43">
      <w:pPr>
        <w:widowControl/>
        <w:numPr>
          <w:ilvl w:val="0"/>
          <w:numId w:val="6"/>
        </w:numPr>
        <w:autoSpaceDE/>
        <w:autoSpaceDN/>
        <w:spacing w:line="276" w:lineRule="auto"/>
        <w:ind w:left="454" w:hanging="454"/>
        <w:contextualSpacing/>
        <w:jc w:val="both"/>
        <w:rPr>
          <w:rFonts w:ascii="Century Gothic" w:hAnsi="Century Gothic"/>
          <w:sz w:val="24"/>
          <w:szCs w:val="24"/>
        </w:rPr>
      </w:pPr>
      <w:r w:rsidRPr="00B533E9">
        <w:rPr>
          <w:rFonts w:ascii="Century Gothic" w:hAnsi="Century Gothic"/>
          <w:sz w:val="24"/>
          <w:szCs w:val="24"/>
        </w:rPr>
        <w:t>Die Vorschriften über die Öffentlichkeit der Sitzung, die Genehmigung oder die Bekanntmachung der Satzung verletzt worden sind.</w:t>
      </w:r>
    </w:p>
    <w:p w:rsidR="00146D7D" w:rsidRPr="00B533E9" w:rsidRDefault="00146D7D" w:rsidP="00345F43">
      <w:pPr>
        <w:widowControl/>
        <w:numPr>
          <w:ilvl w:val="0"/>
          <w:numId w:val="6"/>
        </w:numPr>
        <w:autoSpaceDE/>
        <w:autoSpaceDN/>
        <w:spacing w:line="276" w:lineRule="auto"/>
        <w:ind w:left="454" w:hanging="454"/>
        <w:contextualSpacing/>
        <w:jc w:val="both"/>
        <w:rPr>
          <w:rFonts w:ascii="Century Gothic" w:hAnsi="Century Gothic"/>
          <w:sz w:val="24"/>
          <w:szCs w:val="24"/>
        </w:rPr>
      </w:pPr>
      <w:r w:rsidRPr="00B533E9">
        <w:rPr>
          <w:rFonts w:ascii="Century Gothic" w:hAnsi="Century Gothic"/>
          <w:sz w:val="24"/>
          <w:szCs w:val="24"/>
        </w:rPr>
        <w:t>Der Bürgermeister dem Beschluss nach § 43 Abs. 2 GemO wegen Gesetzeswidrigkeit widersprochen hat oder wenn der Ablauf der in Satz 1 genannten Frist die Rechtsaufsichtbehörde den Beschluss beanstandet hat oder die Verletzung der Verfahrens- oder Formvorschrift gegenüber der Gemeinde Riederich unter Bezeichnung des Sachverhalts, der die Verletzung begründen soll, schriftlich geltend gemacht worden ist.</w:t>
      </w: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/>
          <w:sz w:val="24"/>
          <w:szCs w:val="24"/>
        </w:rPr>
      </w:pPr>
      <w:r w:rsidRPr="00B533E9">
        <w:rPr>
          <w:rFonts w:ascii="Century Gothic" w:hAnsi="Century Gothic"/>
          <w:sz w:val="24"/>
          <w:szCs w:val="24"/>
        </w:rPr>
        <w:t>Jedermann kann diese Verletzung, auch nach Ablauf der in Satz 1 genannten Frist, gegenüber der Gemeinde Riederich unter Bezeichnung der Sachverhalt, der die Verletzung begründen soll, schriftlich geltend machen.</w:t>
      </w: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  <w:t>Ausgefertigt:</w:t>
      </w: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533E9">
        <w:rPr>
          <w:rFonts w:ascii="Century Gothic" w:hAnsi="Century Gothic" w:cs="Arial"/>
          <w:sz w:val="24"/>
          <w:szCs w:val="24"/>
        </w:rPr>
        <w:t xml:space="preserve">Riederich, den </w:t>
      </w:r>
      <w:r>
        <w:rPr>
          <w:rFonts w:ascii="Century Gothic" w:hAnsi="Century Gothic" w:cs="Arial"/>
          <w:sz w:val="24"/>
          <w:szCs w:val="24"/>
        </w:rPr>
        <w:t>11.12</w:t>
      </w:r>
      <w:r w:rsidRPr="00B533E9">
        <w:rPr>
          <w:rFonts w:ascii="Century Gothic" w:hAnsi="Century Gothic" w:cs="Arial"/>
          <w:sz w:val="24"/>
          <w:szCs w:val="24"/>
        </w:rPr>
        <w:t>.2019</w:t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  <w:t xml:space="preserve">Riederich, den </w:t>
      </w:r>
      <w:r>
        <w:rPr>
          <w:rFonts w:ascii="Century Gothic" w:hAnsi="Century Gothic" w:cs="Arial"/>
          <w:sz w:val="24"/>
          <w:szCs w:val="24"/>
        </w:rPr>
        <w:t>12.12.</w:t>
      </w:r>
      <w:r w:rsidRPr="00B533E9">
        <w:rPr>
          <w:rFonts w:ascii="Century Gothic" w:hAnsi="Century Gothic" w:cs="Arial"/>
          <w:sz w:val="24"/>
          <w:szCs w:val="24"/>
        </w:rPr>
        <w:t>2019</w:t>
      </w: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533E9">
        <w:rPr>
          <w:rFonts w:ascii="Century Gothic" w:hAnsi="Century Gothic" w:cs="Arial"/>
          <w:sz w:val="24"/>
          <w:szCs w:val="24"/>
        </w:rPr>
        <w:t>Tobias Pokrop</w:t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  <w:t>Tobias Pokrop</w:t>
      </w:r>
    </w:p>
    <w:p w:rsidR="00146D7D" w:rsidRPr="00B533E9" w:rsidRDefault="00146D7D" w:rsidP="00345F43">
      <w:pPr>
        <w:spacing w:line="276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533E9">
        <w:rPr>
          <w:rFonts w:ascii="Century Gothic" w:hAnsi="Century Gothic" w:cs="Arial"/>
          <w:sz w:val="24"/>
          <w:szCs w:val="24"/>
        </w:rPr>
        <w:t>Bürgermeister</w:t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</w:r>
      <w:r w:rsidRPr="00B533E9">
        <w:rPr>
          <w:rFonts w:ascii="Century Gothic" w:hAnsi="Century Gothic" w:cs="Arial"/>
          <w:sz w:val="24"/>
          <w:szCs w:val="24"/>
        </w:rPr>
        <w:tab/>
        <w:t>Bürgermeister</w:t>
      </w:r>
    </w:p>
    <w:sectPr w:rsidR="00146D7D" w:rsidRPr="00B533E9" w:rsidSect="00B3774C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53" w:rsidRDefault="005E3F53" w:rsidP="008F5539">
      <w:r>
        <w:separator/>
      </w:r>
    </w:p>
  </w:endnote>
  <w:endnote w:type="continuationSeparator" w:id="0">
    <w:p w:rsidR="005E3F53" w:rsidRDefault="005E3F53" w:rsidP="008F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53" w:rsidRDefault="005E3F53" w:rsidP="008F5539">
      <w:r>
        <w:separator/>
      </w:r>
    </w:p>
  </w:footnote>
  <w:footnote w:type="continuationSeparator" w:id="0">
    <w:p w:rsidR="005E3F53" w:rsidRDefault="005E3F53" w:rsidP="008F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7A38"/>
    <w:multiLevelType w:val="hybridMultilevel"/>
    <w:tmpl w:val="959612D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328"/>
    <w:multiLevelType w:val="hybridMultilevel"/>
    <w:tmpl w:val="398C0F0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723B2"/>
    <w:multiLevelType w:val="hybridMultilevel"/>
    <w:tmpl w:val="959612D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4637"/>
    <w:multiLevelType w:val="hybridMultilevel"/>
    <w:tmpl w:val="959612D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86184"/>
    <w:multiLevelType w:val="hybridMultilevel"/>
    <w:tmpl w:val="B06CB0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B38D4"/>
    <w:multiLevelType w:val="hybridMultilevel"/>
    <w:tmpl w:val="C6CAE3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85"/>
    <w:rsid w:val="000266B6"/>
    <w:rsid w:val="00116070"/>
    <w:rsid w:val="00146D7D"/>
    <w:rsid w:val="001B7F85"/>
    <w:rsid w:val="002346C3"/>
    <w:rsid w:val="0028755C"/>
    <w:rsid w:val="002E5533"/>
    <w:rsid w:val="00300A28"/>
    <w:rsid w:val="00345F43"/>
    <w:rsid w:val="00361860"/>
    <w:rsid w:val="003C2080"/>
    <w:rsid w:val="005467BE"/>
    <w:rsid w:val="00572490"/>
    <w:rsid w:val="005E3F53"/>
    <w:rsid w:val="0060714C"/>
    <w:rsid w:val="00655CE3"/>
    <w:rsid w:val="00721654"/>
    <w:rsid w:val="00775012"/>
    <w:rsid w:val="007857D4"/>
    <w:rsid w:val="007B3503"/>
    <w:rsid w:val="00872094"/>
    <w:rsid w:val="00883B62"/>
    <w:rsid w:val="008A7336"/>
    <w:rsid w:val="008F5539"/>
    <w:rsid w:val="00910E17"/>
    <w:rsid w:val="00943F89"/>
    <w:rsid w:val="00A009AF"/>
    <w:rsid w:val="00A75AA1"/>
    <w:rsid w:val="00AA346D"/>
    <w:rsid w:val="00AB26AC"/>
    <w:rsid w:val="00B27134"/>
    <w:rsid w:val="00B3774C"/>
    <w:rsid w:val="00CD0DEF"/>
    <w:rsid w:val="00D96E71"/>
    <w:rsid w:val="00E60C0B"/>
    <w:rsid w:val="00F44098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0DFC7-2B8B-478F-B904-8B6A0ECD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7F85"/>
    <w:pPr>
      <w:widowControl w:val="0"/>
      <w:autoSpaceDE w:val="0"/>
      <w:autoSpaceDN w:val="0"/>
      <w:spacing w:after="0" w:line="240" w:lineRule="auto"/>
    </w:pPr>
    <w:rPr>
      <w:rFonts w:ascii="times roman" w:eastAsia="Times New Roman" w:hAnsi="times roman" w:cs="times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09AF"/>
    <w:pPr>
      <w:ind w:left="720"/>
      <w:contextualSpacing/>
    </w:pPr>
  </w:style>
  <w:style w:type="table" w:styleId="Tabellenraster">
    <w:name w:val="Table Grid"/>
    <w:basedOn w:val="NormaleTabelle"/>
    <w:uiPriority w:val="39"/>
    <w:rsid w:val="0065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0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070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F55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5539"/>
    <w:rPr>
      <w:rFonts w:ascii="times roman" w:eastAsia="Times New Roman" w:hAnsi="times roman" w:cs="times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F55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5539"/>
    <w:rPr>
      <w:rFonts w:ascii="times roman" w:eastAsia="Times New Roman" w:hAnsi="times roman" w:cs="times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Straub, Marcel</dc:creator>
  <cp:keywords/>
  <dc:description/>
  <cp:lastModifiedBy>Malcic, Malin</cp:lastModifiedBy>
  <cp:revision>2</cp:revision>
  <cp:lastPrinted>2019-12-05T09:41:00Z</cp:lastPrinted>
  <dcterms:created xsi:type="dcterms:W3CDTF">2020-01-20T12:59:00Z</dcterms:created>
  <dcterms:modified xsi:type="dcterms:W3CDTF">2020-01-20T12:59:00Z</dcterms:modified>
</cp:coreProperties>
</file>